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</w:p>
    <w:p w:rsidR="0017674F" w:rsidRDefault="0017674F" w:rsidP="0017674F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2E2AD6" w:rsidRDefault="002E2AD6" w:rsidP="002E2AD6">
      <w:pPr>
        <w:rPr>
          <w:b/>
          <w:sz w:val="16"/>
          <w:szCs w:val="16"/>
        </w:rPr>
      </w:pPr>
    </w:p>
    <w:p w:rsidR="00E33302" w:rsidRDefault="002E2AD6" w:rsidP="002E2AD6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 w:rsidR="0017674F">
        <w:rPr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  <w:bookmarkStart w:id="0" w:name="_GoBack"/>
      <w:bookmarkEnd w:id="0"/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r w:rsidR="0017674F">
        <w:rPr>
          <w:sz w:val="28"/>
          <w:szCs w:val="28"/>
        </w:rPr>
        <w:t>Выкатной</w:t>
      </w:r>
      <w:r w:rsidR="0074083F" w:rsidRPr="00D41F97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143815" w:rsidRDefault="00143815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10 Федерального закона от 21 июля 2014 года № 212-ФЗ «Об основах общественного контроля в Российской Федерации», статьями </w:t>
      </w:r>
      <w:r w:rsidR="00C316A7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 1</w:t>
      </w:r>
      <w:r w:rsidR="00C316A7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17674F">
        <w:rPr>
          <w:kern w:val="2"/>
          <w:sz w:val="28"/>
          <w:szCs w:val="28"/>
        </w:rPr>
        <w:t>Выкатной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6A7" w:rsidRPr="00C316A7" w:rsidRDefault="00C316A7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r w:rsidR="0017674F">
        <w:rPr>
          <w:b/>
          <w:sz w:val="28"/>
          <w:szCs w:val="28"/>
        </w:rPr>
        <w:t>Выкатной</w:t>
      </w:r>
    </w:p>
    <w:p w:rsidR="00C316A7" w:rsidRPr="00C316A7" w:rsidRDefault="00C316A7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</w:t>
      </w:r>
      <w:r w:rsidR="0017674F">
        <w:rPr>
          <w:kern w:val="2"/>
          <w:sz w:val="28"/>
          <w:szCs w:val="28"/>
        </w:rPr>
        <w:t xml:space="preserve"> Выкатной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17674F" w:rsidRDefault="0017674F" w:rsidP="00880FB2">
      <w:pPr>
        <w:ind w:firstLine="709"/>
        <w:jc w:val="both"/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</w:t>
      </w:r>
      <w:r w:rsidR="0017674F">
        <w:rPr>
          <w:sz w:val="28"/>
          <w:szCs w:val="28"/>
        </w:rPr>
        <w:t xml:space="preserve"> в установленном порядке</w:t>
      </w:r>
      <w:r w:rsidR="00C65452" w:rsidRPr="00D41F97">
        <w:rPr>
          <w:sz w:val="28"/>
          <w:szCs w:val="28"/>
        </w:rPr>
        <w:t>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143815" w:rsidRPr="00D41F97" w:rsidRDefault="00143815" w:rsidP="00807B72">
      <w:pPr>
        <w:ind w:firstLine="708"/>
        <w:jc w:val="both"/>
        <w:rPr>
          <w:sz w:val="28"/>
          <w:szCs w:val="28"/>
        </w:rPr>
      </w:pPr>
    </w:p>
    <w:p w:rsidR="00C316A7" w:rsidRDefault="00C316A7" w:rsidP="001767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  <w:r w:rsidR="0017674F" w:rsidRPr="004A0F9A">
        <w:rPr>
          <w:sz w:val="28"/>
          <w:szCs w:val="28"/>
        </w:rPr>
        <w:t>сельского</w:t>
      </w:r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поселения </w:t>
      </w:r>
      <w:r w:rsidR="0017674F">
        <w:rPr>
          <w:sz w:val="28"/>
          <w:szCs w:val="28"/>
        </w:rPr>
        <w:t>Выкатной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17674F">
        <w:rPr>
          <w:sz w:val="28"/>
          <w:szCs w:val="28"/>
        </w:rPr>
        <w:t xml:space="preserve">                        </w:t>
      </w:r>
      <w:proofErr w:type="spellStart"/>
      <w:r w:rsidR="0017674F">
        <w:rPr>
          <w:sz w:val="28"/>
          <w:szCs w:val="28"/>
        </w:rPr>
        <w:t>Н.Г.Щепёткин</w:t>
      </w:r>
      <w:proofErr w:type="spellEnd"/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7674F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74F">
        <w:rPr>
          <w:sz w:val="28"/>
          <w:szCs w:val="28"/>
        </w:rPr>
        <w:t xml:space="preserve"> 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7674F">
        <w:rPr>
          <w:b/>
          <w:sz w:val="28"/>
          <w:szCs w:val="28"/>
        </w:rPr>
        <w:t>Выкатной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r w:rsidR="0017674F">
        <w:rPr>
          <w:sz w:val="28"/>
          <w:szCs w:val="28"/>
        </w:rPr>
        <w:t>Выкатной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r w:rsidR="00C316A7">
        <w:rPr>
          <w:sz w:val="28"/>
          <w:szCs w:val="28"/>
        </w:rPr>
        <w:t>общественной проверки</w:t>
      </w:r>
      <w:r>
        <w:rPr>
          <w:sz w:val="28"/>
          <w:szCs w:val="28"/>
        </w:rPr>
        <w:t>,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r w:rsidR="0017674F">
        <w:rPr>
          <w:sz w:val="28"/>
          <w:szCs w:val="28"/>
        </w:rPr>
        <w:t>Выкатной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84D" w:rsidSect="0017674F">
      <w:footerReference w:type="even" r:id="rId8"/>
      <w:footerReference w:type="default" r:id="rId9"/>
      <w:pgSz w:w="11905" w:h="16838"/>
      <w:pgMar w:top="1418" w:right="1247" w:bottom="1134" w:left="158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BB" w:rsidRDefault="008749BB">
      <w:r>
        <w:separator/>
      </w:r>
    </w:p>
  </w:endnote>
  <w:endnote w:type="continuationSeparator" w:id="0">
    <w:p w:rsidR="008749BB" w:rsidRDefault="008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BB" w:rsidRDefault="008749BB">
      <w:r>
        <w:separator/>
      </w:r>
    </w:p>
  </w:footnote>
  <w:footnote w:type="continuationSeparator" w:id="0">
    <w:p w:rsidR="008749BB" w:rsidRDefault="0087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B7E6B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3815"/>
    <w:rsid w:val="001452B3"/>
    <w:rsid w:val="00146FC7"/>
    <w:rsid w:val="00156F47"/>
    <w:rsid w:val="00166684"/>
    <w:rsid w:val="00166E7F"/>
    <w:rsid w:val="0017674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5345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9BB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B19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2E99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E7B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0A2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2609D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F02BB"/>
  <w15:docId w15:val="{99E97071-3131-4DE0-B29C-1F4F7E6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Body Text Indent"/>
    <w:basedOn w:val="a"/>
    <w:link w:val="af"/>
    <w:semiHidden/>
    <w:unhideWhenUsed/>
    <w:rsid w:val="00C316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31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CC46-9E53-41CF-948C-6192663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782</Words>
  <Characters>5922</Characters>
  <Application>Microsoft Office Word</Application>
  <DocSecurity>0</DocSecurity>
  <Lines>169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HP</cp:lastModifiedBy>
  <cp:revision>4</cp:revision>
  <cp:lastPrinted>2019-07-12T04:32:00Z</cp:lastPrinted>
  <dcterms:created xsi:type="dcterms:W3CDTF">2019-08-07T11:24:00Z</dcterms:created>
  <dcterms:modified xsi:type="dcterms:W3CDTF">2019-08-08T11:09:00Z</dcterms:modified>
</cp:coreProperties>
</file>